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875" w:rsidRPr="002A3875" w:rsidRDefault="002A3875" w:rsidP="002A3875">
      <w:pPr>
        <w:tabs>
          <w:tab w:val="center" w:pos="4797"/>
          <w:tab w:val="left" w:pos="7080"/>
        </w:tabs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4035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875" w:rsidRPr="002A3875" w:rsidRDefault="002A3875" w:rsidP="002A3875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  <w:lang w:eastAsia="ru-RU"/>
        </w:rPr>
      </w:pPr>
    </w:p>
    <w:p w:rsidR="002A3875" w:rsidRPr="002A3875" w:rsidRDefault="002A3875" w:rsidP="002A3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A38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2A3875" w:rsidRPr="002A3875" w:rsidRDefault="002A3875" w:rsidP="002A38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2A3875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2A3875" w:rsidRPr="002A3875" w:rsidRDefault="002A3875" w:rsidP="002A3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A38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2A3875" w:rsidRPr="002A3875" w:rsidRDefault="002A3875" w:rsidP="002A3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2A3875" w:rsidRPr="002A3875" w:rsidRDefault="002A3875" w:rsidP="002A38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2A387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2A387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2A387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2A3875" w:rsidRPr="002A3875" w:rsidRDefault="002A3875" w:rsidP="002A38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2A3875" w:rsidRPr="002A3875" w:rsidRDefault="002A3875" w:rsidP="002A387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2A3875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2A3875" w:rsidRPr="002A3875" w:rsidRDefault="002A3875" w:rsidP="002A3875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2A387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</w:t>
      </w:r>
      <w:proofErr w:type="spellStart"/>
      <w:r w:rsidRPr="002A3875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двадцять</w:t>
      </w:r>
      <w:proofErr w:type="spellEnd"/>
      <w:r w:rsidRPr="002A387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перша </w:t>
      </w:r>
      <w:r w:rsidRPr="002A387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сесія восьмого скликання)</w:t>
      </w:r>
    </w:p>
    <w:p w:rsidR="002A3875" w:rsidRPr="002A3875" w:rsidRDefault="002A3875" w:rsidP="002A38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2A3875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від</w:t>
      </w:r>
      <w:r w:rsidRPr="002A387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23 </w:t>
      </w:r>
      <w:r w:rsidRPr="002A3875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грудня 2021 року № 57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4</w:t>
      </w:r>
    </w:p>
    <w:p w:rsidR="00392C63" w:rsidRPr="00392C63" w:rsidRDefault="00392C63" w:rsidP="00392C63">
      <w:pPr>
        <w:shd w:val="clear" w:color="auto" w:fill="FFFFFF"/>
        <w:spacing w:after="0" w:line="270" w:lineRule="atLeast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392C63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Про організацію харчування</w:t>
      </w:r>
    </w:p>
    <w:p w:rsidR="00392C63" w:rsidRPr="00392C63" w:rsidRDefault="00392C63" w:rsidP="00392C63">
      <w:pPr>
        <w:shd w:val="clear" w:color="auto" w:fill="FFFFFF"/>
        <w:spacing w:after="0" w:line="270" w:lineRule="atLeast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 w:rsidRPr="00392C63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окремих категорій </w:t>
      </w:r>
      <w:r w:rsidRPr="00392C63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</w:t>
      </w:r>
      <w:r w:rsidRPr="00392C63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учнів</w:t>
      </w:r>
    </w:p>
    <w:p w:rsidR="00037644" w:rsidRDefault="00037644" w:rsidP="00392C63">
      <w:pPr>
        <w:shd w:val="clear" w:color="auto" w:fill="FFFFFF"/>
        <w:spacing w:after="0" w:line="270" w:lineRule="atLeast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закладів загальної середньої освіти</w:t>
      </w:r>
    </w:p>
    <w:p w:rsidR="00037644" w:rsidRDefault="00392C63" w:rsidP="00392C63">
      <w:pPr>
        <w:shd w:val="clear" w:color="auto" w:fill="FFFFFF"/>
        <w:spacing w:after="0" w:line="270" w:lineRule="atLeast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  <w:r w:rsidRPr="00392C63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Малинської</w:t>
      </w:r>
      <w:r w:rsidR="00037644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 </w:t>
      </w:r>
      <w:proofErr w:type="spellStart"/>
      <w:r w:rsidRPr="00392C63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міської</w:t>
      </w:r>
      <w:proofErr w:type="spellEnd"/>
      <w:r w:rsidRPr="00392C63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392C63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територіальної</w:t>
      </w:r>
      <w:proofErr w:type="spellEnd"/>
      <w:r w:rsidRPr="00392C63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</w:t>
      </w:r>
    </w:p>
    <w:p w:rsidR="00392C63" w:rsidRPr="00037644" w:rsidRDefault="00037644" w:rsidP="00392C63">
      <w:pPr>
        <w:shd w:val="clear" w:color="auto" w:fill="FFFFFF"/>
        <w:spacing w:after="0" w:line="270" w:lineRule="atLeast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г</w:t>
      </w:r>
      <w:proofErr w:type="spellStart"/>
      <w:r w:rsidR="00392C63" w:rsidRPr="00392C63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ромади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 </w:t>
      </w:r>
      <w:r w:rsidR="00392C63" w:rsidRPr="00392C63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у 202</w:t>
      </w:r>
      <w:r w:rsidR="00392C63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2</w:t>
      </w:r>
      <w:r w:rsidR="00392C63" w:rsidRPr="00392C63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392C63" w:rsidRPr="00392C63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році</w:t>
      </w:r>
      <w:proofErr w:type="spellEnd"/>
    </w:p>
    <w:p w:rsidR="00392C63" w:rsidRPr="00392C63" w:rsidRDefault="00392C63" w:rsidP="00392C63">
      <w:pPr>
        <w:shd w:val="clear" w:color="auto" w:fill="FFFFFF"/>
        <w:spacing w:after="135" w:line="270" w:lineRule="atLeast"/>
        <w:rPr>
          <w:rFonts w:ascii="Calibri" w:eastAsia="Calibri" w:hAnsi="Calibri" w:cs="Times New Roman"/>
          <w:lang w:val="uk-UA"/>
        </w:rPr>
      </w:pPr>
      <w:r w:rsidRPr="00392C63">
        <w:rPr>
          <w:rFonts w:ascii="Calibri" w:eastAsia="Calibri" w:hAnsi="Calibri" w:cs="Times New Roman"/>
          <w:lang w:val="uk-UA"/>
        </w:rPr>
        <w:tab/>
      </w:r>
    </w:p>
    <w:p w:rsidR="00392C63" w:rsidRPr="00392C63" w:rsidRDefault="00392C63" w:rsidP="00392C6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2A3875" w:rsidRDefault="00392C63" w:rsidP="00392C6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392C6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        Керуючись статтями </w:t>
      </w:r>
      <w:r w:rsidR="00CF1BD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25,</w:t>
      </w:r>
      <w:r w:rsidR="00F6746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26,</w:t>
      </w:r>
      <w:r w:rsidR="00CF1BD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392C6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59 Закону України «Про місцеве самоврядування в Україні», статтею 5 Закону України «Про охорону дитинства», статтею 2</w:t>
      </w:r>
      <w:r w:rsidR="00CF1BD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0</w:t>
      </w:r>
      <w:r w:rsidRPr="00392C6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Закону України «Про </w:t>
      </w:r>
      <w:r w:rsidR="00CF1BD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повну </w:t>
      </w:r>
      <w:r w:rsidRPr="00392C6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загальну середню освіту»,  Законом  України «Про   внесення  змін  до  деяких  законів  України  що</w:t>
      </w:r>
      <w:r w:rsidR="002A387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до  забезпечення   безкоштовним харчуванням дітей, один</w:t>
      </w:r>
      <w:r w:rsidRPr="00392C6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із  батьків  яких  загинув (пропав безвіс</w:t>
      </w:r>
      <w:r w:rsidR="002A387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ти), помер під час захисту незалежності та суверенітету</w:t>
      </w:r>
      <w:r w:rsidRPr="00392C6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України</w:t>
      </w:r>
      <w:r w:rsidR="00CF1BD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»</w:t>
      </w:r>
      <w:r w:rsidRPr="00392C6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№ 978- </w:t>
      </w:r>
      <w:r w:rsidRPr="00392C63">
        <w:rPr>
          <w:rFonts w:ascii="Times New Roman" w:eastAsia="Calibri" w:hAnsi="Times New Roman" w:cs="Times New Roman"/>
          <w:sz w:val="28"/>
          <w:szCs w:val="28"/>
          <w:lang w:val="en-US" w:eastAsia="uk-UA"/>
        </w:rPr>
        <w:t>IX</w:t>
      </w:r>
      <w:r w:rsidRPr="00392C6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від 05.11.2020 року, </w:t>
      </w:r>
      <w:r w:rsidR="00F6746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</w:t>
      </w:r>
      <w:r w:rsidR="00CF1BD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останов</w:t>
      </w:r>
      <w:r w:rsidR="00C6556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ами</w:t>
      </w:r>
      <w:r w:rsidR="00CF1BD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КМУ </w:t>
      </w:r>
      <w:r w:rsidR="00C6556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«Про затвердження норм та </w:t>
      </w:r>
      <w:r w:rsidR="00F6746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</w:t>
      </w:r>
      <w:r w:rsidR="00C6556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орядку організації харчування у закладах освіти та дитячих закладах оздоровлення та відпочинку» від 24.03.2021 № 305</w:t>
      </w:r>
      <w:r w:rsidRPr="00392C6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</w:t>
      </w:r>
      <w:r w:rsidR="00C6556E" w:rsidRPr="00C6556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від 02.02.2011р. № 116</w:t>
      </w:r>
      <w:r w:rsidR="002A387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 з  метою організації харчування учнів у</w:t>
      </w:r>
      <w:r w:rsidRPr="00392C6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закладах  </w:t>
      </w:r>
      <w:r w:rsidR="0048024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загальної середньої </w:t>
      </w:r>
      <w:r w:rsidRPr="00392C6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освіти Малинської міської територіальної гром</w:t>
      </w:r>
      <w:r w:rsidR="00C6556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ади </w:t>
      </w:r>
      <w:r w:rsidRPr="00392C6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 202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</w:t>
      </w:r>
      <w:r w:rsidRPr="00392C6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році,</w:t>
      </w:r>
    </w:p>
    <w:p w:rsidR="00392C63" w:rsidRPr="00392C63" w:rsidRDefault="00392C63" w:rsidP="00392C6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392C6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міська  рада </w:t>
      </w:r>
    </w:p>
    <w:p w:rsidR="00392C63" w:rsidRPr="00392C63" w:rsidRDefault="00392C63" w:rsidP="00392C6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392C63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ВИРІШИЛА:</w:t>
      </w:r>
    </w:p>
    <w:p w:rsidR="00392C63" w:rsidRDefault="00392C63" w:rsidP="00392C63">
      <w:pPr>
        <w:shd w:val="clear" w:color="auto" w:fill="FFFFFF"/>
        <w:tabs>
          <w:tab w:val="left" w:pos="567"/>
        </w:tabs>
        <w:spacing w:after="0" w:line="240" w:lineRule="auto"/>
        <w:ind w:left="15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392C6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    1. Встановити з 0</w:t>
      </w:r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1січня</w:t>
      </w:r>
      <w:r w:rsidRPr="00392C6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20</w:t>
      </w:r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</w:t>
      </w:r>
      <w:r w:rsidRPr="00392C6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 вартість харчування дітей, які навчаються в </w:t>
      </w:r>
      <w:r w:rsidR="00037644" w:rsidRPr="0003764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закладах</w:t>
      </w:r>
      <w:r w:rsidR="00037644" w:rsidRPr="00037644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037644" w:rsidRPr="0003764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загальної середньої освіти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громади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 з розрахунку</w:t>
      </w:r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30 </w:t>
      </w:r>
      <w:r w:rsidRPr="00392C6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грив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ень</w:t>
      </w:r>
      <w:r w:rsidRPr="00392C6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03764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</w:t>
      </w:r>
      <w:r w:rsidRPr="00392C6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день на 1 учня.</w:t>
      </w:r>
    </w:p>
    <w:p w:rsidR="000A323B" w:rsidRPr="00392C63" w:rsidRDefault="000A323B" w:rsidP="000A323B">
      <w:pPr>
        <w:shd w:val="clear" w:color="auto" w:fill="FFFFFF"/>
        <w:tabs>
          <w:tab w:val="left" w:pos="567"/>
        </w:tabs>
        <w:spacing w:after="0" w:line="240" w:lineRule="auto"/>
        <w:ind w:left="15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    2.</w:t>
      </w:r>
      <w:r w:rsidRPr="000A323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Встановити  у 2022 році вартість харчування під час перебування дітей у літніх пришкільних таборах із денним перебуванням з розрахунку</w:t>
      </w:r>
      <w:r w:rsidRPr="000A323B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Pr="000A323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30 гривень в день на 1 учня.</w:t>
      </w:r>
    </w:p>
    <w:p w:rsidR="00392C63" w:rsidRPr="00037644" w:rsidRDefault="00392C63" w:rsidP="00037644">
      <w:pPr>
        <w:shd w:val="clear" w:color="auto" w:fill="FFFFFF"/>
        <w:tabs>
          <w:tab w:val="left" w:pos="567"/>
        </w:tabs>
        <w:spacing w:after="0" w:line="240" w:lineRule="auto"/>
        <w:ind w:left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92C6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     </w:t>
      </w:r>
      <w:r w:rsidR="000A323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3</w:t>
      </w:r>
      <w:r w:rsidRPr="00392C6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.  Встановити з 01 </w:t>
      </w:r>
      <w:r w:rsidRPr="000A323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січня</w:t>
      </w:r>
      <w:r w:rsidRPr="00392C6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</w:t>
      </w:r>
      <w:r w:rsidRPr="00392C6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 пільгову вартість харчування у розмірі 50% для дітей, які навчаються </w:t>
      </w:r>
      <w:r w:rsidR="0003764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</w:t>
      </w:r>
      <w:r w:rsidRPr="00392C6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закладах</w:t>
      </w:r>
      <w:r w:rsidRPr="0003764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03764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загальної середньої освіти </w:t>
      </w:r>
      <w:r w:rsidRPr="0003764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громади</w:t>
      </w:r>
      <w:r w:rsidRPr="00392C6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з </w:t>
      </w:r>
      <w:r w:rsidR="00037644">
        <w:rPr>
          <w:rFonts w:ascii="Times New Roman" w:eastAsia="Calibri" w:hAnsi="Times New Roman" w:cs="Times New Roman"/>
          <w:sz w:val="28"/>
          <w:szCs w:val="28"/>
          <w:lang w:val="uk-UA" w:eastAsia="uk-UA"/>
        </w:rPr>
        <w:lastRenderedPageBreak/>
        <w:t xml:space="preserve">числа </w:t>
      </w:r>
      <w:r w:rsidRPr="00392C6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дітей, батьки яких є учасниками антитерористичної операції</w:t>
      </w:r>
      <w:r w:rsidRPr="0003764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/ООС</w:t>
      </w:r>
      <w:r w:rsidRPr="00392C6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 учасниками бойових дій, інвалідами війни</w:t>
      </w:r>
      <w:r w:rsidR="0003764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</w:t>
      </w:r>
    </w:p>
    <w:p w:rsidR="00392C63" w:rsidRPr="00037644" w:rsidRDefault="00392C63" w:rsidP="00392C63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3764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     </w:t>
      </w:r>
      <w:r w:rsidR="000A323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4</w:t>
      </w:r>
      <w:r w:rsidRPr="0003764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 Встановити</w:t>
      </w:r>
      <w:r w:rsidR="00F6746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 що</w:t>
      </w:r>
      <w:r w:rsidRPr="0003764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з 01січня 202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</w:t>
      </w:r>
      <w:r w:rsidRPr="0003764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 </w:t>
      </w:r>
      <w:r w:rsidR="00F6746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батьківська плата за </w:t>
      </w:r>
      <w:r w:rsidRPr="0003764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харчування </w:t>
      </w:r>
      <w:r w:rsidR="00F6746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однієї дитини в день становитиме </w:t>
      </w:r>
      <w:r w:rsidRPr="0003764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60% для дітей, які навчаються у 1-4 класах </w:t>
      </w:r>
      <w:r w:rsidR="00037644" w:rsidRPr="0003764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заклад</w:t>
      </w:r>
      <w:r w:rsidR="0003764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ів</w:t>
      </w:r>
      <w:r w:rsidR="00037644" w:rsidRPr="0003764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загальної середньої освіти </w:t>
      </w:r>
      <w:r w:rsidRPr="0003764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міста Малина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03764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та 40 % - </w:t>
      </w:r>
      <w:r w:rsidRPr="00392C6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для дітей сільської місцевості Малинської міської територіальної громади</w:t>
      </w:r>
      <w:r w:rsidRPr="0003764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</w:t>
      </w:r>
    </w:p>
    <w:p w:rsidR="00392C63" w:rsidRPr="00392C63" w:rsidRDefault="00392C63" w:rsidP="00392C63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03764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     </w:t>
      </w:r>
      <w:r w:rsidR="000A323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5</w:t>
      </w:r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Встановити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5A654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безоплатне харчування та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щомісячну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грошову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компенсацію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для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категорії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дітей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із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числа: </w:t>
      </w:r>
    </w:p>
    <w:p w:rsidR="00392C63" w:rsidRPr="00392C63" w:rsidRDefault="00392C63" w:rsidP="00392C6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-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діти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– сироти;</w:t>
      </w:r>
    </w:p>
    <w:p w:rsidR="00392C63" w:rsidRDefault="00392C63" w:rsidP="00392C6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- 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діти</w:t>
      </w:r>
      <w:proofErr w:type="spellEnd"/>
      <w:r w:rsidR="0003764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</w:t>
      </w:r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позбавлені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батьківського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</w:t>
      </w:r>
      <w:proofErr w:type="spellStart"/>
      <w:proofErr w:type="gram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п</w:t>
      </w:r>
      <w:proofErr w:type="gram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іклування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;</w:t>
      </w:r>
    </w:p>
    <w:p w:rsidR="00037644" w:rsidRPr="00037644" w:rsidRDefault="00037644" w:rsidP="00392C6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- </w:t>
      </w:r>
      <w:proofErr w:type="spellStart"/>
      <w:r w:rsidRPr="00037644">
        <w:rPr>
          <w:rFonts w:ascii="Times New Roman" w:eastAsia="Calibri" w:hAnsi="Times New Roman" w:cs="Times New Roman"/>
          <w:sz w:val="28"/>
          <w:szCs w:val="28"/>
          <w:lang w:eastAsia="uk-UA"/>
        </w:rPr>
        <w:t>діт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и</w:t>
      </w:r>
      <w:r w:rsidRPr="00037644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з </w:t>
      </w:r>
      <w:proofErr w:type="spellStart"/>
      <w:r w:rsidRPr="00037644">
        <w:rPr>
          <w:rFonts w:ascii="Times New Roman" w:eastAsia="Calibri" w:hAnsi="Times New Roman" w:cs="Times New Roman"/>
          <w:sz w:val="28"/>
          <w:szCs w:val="28"/>
          <w:lang w:eastAsia="uk-UA"/>
        </w:rPr>
        <w:t>інвалідн</w:t>
      </w:r>
      <w:r w:rsidRPr="0003764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істю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;</w:t>
      </w:r>
    </w:p>
    <w:p w:rsidR="00392C63" w:rsidRPr="00392C63" w:rsidRDefault="00392C63" w:rsidP="00392C6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-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діти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з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особливими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освітніми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потребами,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які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навчаються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в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інклюзивних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      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класах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;</w:t>
      </w:r>
    </w:p>
    <w:p w:rsidR="00392C63" w:rsidRPr="00392C63" w:rsidRDefault="00392C63" w:rsidP="00392C6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-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учні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1-4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класів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із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сімей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які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отримують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допомогу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відповідно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до Закону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України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«Про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державну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</w:t>
      </w:r>
      <w:proofErr w:type="spellStart"/>
      <w:proofErr w:type="gram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соц</w:t>
      </w:r>
      <w:proofErr w:type="gram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іальну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допомогу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малозабезпеченим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сім'ям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»;</w:t>
      </w:r>
    </w:p>
    <w:p w:rsidR="00392C63" w:rsidRDefault="00392C63" w:rsidP="00392C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- учні1-11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класів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батьки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яких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загинули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Pr="00392C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proofErr w:type="gramEnd"/>
      <w:r w:rsidRPr="00392C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ід час участі в антитерористичній операції/ООС, захищаючи незалежність, суверенітет і територіальну цілісність України.</w:t>
      </w:r>
    </w:p>
    <w:p w:rsidR="00392C63" w:rsidRPr="00392C63" w:rsidRDefault="00392C63" w:rsidP="00392C63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03764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</w:t>
      </w:r>
      <w:r w:rsidR="0087098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6</w:t>
      </w:r>
      <w:r w:rsidRPr="0087098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 Грошову компенсацію виплачувати зазначеній категорії дітей за попередній календарний місяць</w:t>
      </w:r>
      <w:r w:rsidR="0003764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за фактичні дні відвідування навчального закладу</w:t>
      </w:r>
      <w:r w:rsidRPr="0087098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у якому не забезпечено організацію  гарячим  харчуванням. </w:t>
      </w:r>
    </w:p>
    <w:p w:rsidR="00392C63" w:rsidRPr="00870985" w:rsidRDefault="00392C63" w:rsidP="00392C63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87098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 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7</w:t>
      </w:r>
      <w:r w:rsidRPr="00392C6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 Відшкодування зазначених пільг проводити за рахунок</w:t>
      </w:r>
      <w:r w:rsidR="0087098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коштів Малинської міської територіальної громади</w:t>
      </w:r>
      <w:r w:rsidRPr="0087098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</w:t>
      </w:r>
    </w:p>
    <w:p w:rsidR="00870985" w:rsidRPr="00870985" w:rsidRDefault="00392C63" w:rsidP="0087098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87098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 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8</w:t>
      </w:r>
      <w:r w:rsidRPr="00392C6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. Контроль за виконанням рішення покласти на комісію </w:t>
      </w:r>
      <w:r w:rsidR="00870985" w:rsidRPr="0087098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:rsidR="00870985" w:rsidRPr="00870985" w:rsidRDefault="00870985" w:rsidP="0087098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392C63" w:rsidRPr="00392C63" w:rsidRDefault="00392C63" w:rsidP="00392C6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392C63" w:rsidRPr="00392C63" w:rsidRDefault="00392C63" w:rsidP="00392C6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392C63" w:rsidRPr="00392C63" w:rsidRDefault="00392C63" w:rsidP="00392C63">
      <w:pPr>
        <w:shd w:val="clear" w:color="auto" w:fill="FFFFFF"/>
        <w:spacing w:after="0" w:line="270" w:lineRule="atLeast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392C63" w:rsidRPr="00392C63" w:rsidRDefault="00392C63" w:rsidP="00392C63">
      <w:pPr>
        <w:shd w:val="clear" w:color="auto" w:fill="FFFFFF"/>
        <w:spacing w:after="0" w:line="270" w:lineRule="atLeast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392C63" w:rsidRPr="00392C63" w:rsidRDefault="00392C63" w:rsidP="00392C63">
      <w:pPr>
        <w:shd w:val="clear" w:color="auto" w:fill="FFFFFF"/>
        <w:spacing w:after="135" w:line="270" w:lineRule="atLeast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>Міський</w:t>
      </w:r>
      <w:proofErr w:type="spellEnd"/>
      <w:r w:rsidRPr="00392C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голова                                                                   Олександр СИТАЙЛО</w:t>
      </w:r>
    </w:p>
    <w:p w:rsidR="00392C63" w:rsidRPr="00392C63" w:rsidRDefault="00392C63" w:rsidP="00392C63">
      <w:pPr>
        <w:spacing w:after="0" w:line="240" w:lineRule="auto"/>
        <w:ind w:left="1134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392C63" w:rsidRPr="00392C63" w:rsidRDefault="00392C63" w:rsidP="00392C63">
      <w:pPr>
        <w:spacing w:after="0" w:line="240" w:lineRule="auto"/>
        <w:ind w:left="1134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392C63" w:rsidRDefault="00392C63" w:rsidP="00392C63">
      <w:pPr>
        <w:spacing w:after="0" w:line="240" w:lineRule="auto"/>
        <w:ind w:left="1134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392C63" w:rsidRDefault="00392C63" w:rsidP="00392C63">
      <w:pPr>
        <w:spacing w:after="0" w:line="240" w:lineRule="auto"/>
        <w:ind w:left="1134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392C63" w:rsidRDefault="00392C63" w:rsidP="00392C63">
      <w:pPr>
        <w:spacing w:after="0" w:line="240" w:lineRule="auto"/>
        <w:ind w:left="1134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392C63" w:rsidRDefault="00392C63" w:rsidP="00392C63">
      <w:pPr>
        <w:spacing w:after="0" w:line="240" w:lineRule="auto"/>
        <w:ind w:left="1134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392C63" w:rsidRDefault="00392C63" w:rsidP="00392C63">
      <w:pPr>
        <w:spacing w:after="0" w:line="240" w:lineRule="auto"/>
        <w:ind w:left="1134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392C63" w:rsidRDefault="00392C63" w:rsidP="00392C63">
      <w:pPr>
        <w:spacing w:after="0" w:line="240" w:lineRule="auto"/>
        <w:ind w:left="1134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392C63" w:rsidRDefault="00392C63" w:rsidP="00392C63">
      <w:pPr>
        <w:spacing w:after="0" w:line="240" w:lineRule="auto"/>
        <w:ind w:left="1134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392C63" w:rsidRDefault="00392C63" w:rsidP="008709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392C63" w:rsidRPr="002A3875" w:rsidRDefault="00392C63" w:rsidP="003B45B5">
      <w:pPr>
        <w:spacing w:after="0" w:line="240" w:lineRule="auto"/>
        <w:ind w:left="1134"/>
        <w:rPr>
          <w:rFonts w:ascii="Times New Roman" w:eastAsia="Calibri" w:hAnsi="Times New Roman" w:cs="Times New Roman"/>
          <w:szCs w:val="24"/>
        </w:rPr>
      </w:pPr>
      <w:bookmarkStart w:id="0" w:name="_GoBack"/>
      <w:proofErr w:type="spellStart"/>
      <w:r w:rsidRPr="002A3875">
        <w:rPr>
          <w:rFonts w:ascii="Times New Roman" w:eastAsia="Calibri" w:hAnsi="Times New Roman" w:cs="Times New Roman"/>
          <w:szCs w:val="24"/>
        </w:rPr>
        <w:t>Віталій</w:t>
      </w:r>
      <w:proofErr w:type="spellEnd"/>
      <w:r w:rsidRPr="002A3875">
        <w:rPr>
          <w:rFonts w:ascii="Times New Roman" w:eastAsia="Calibri" w:hAnsi="Times New Roman" w:cs="Times New Roman"/>
          <w:szCs w:val="24"/>
        </w:rPr>
        <w:t xml:space="preserve"> ЛУКАШЕНКО</w:t>
      </w:r>
    </w:p>
    <w:p w:rsidR="00392C63" w:rsidRPr="002A3875" w:rsidRDefault="00392C63" w:rsidP="003B45B5">
      <w:pPr>
        <w:spacing w:after="0" w:line="240" w:lineRule="auto"/>
        <w:ind w:left="1134"/>
        <w:rPr>
          <w:rFonts w:ascii="Times New Roman" w:eastAsia="Calibri" w:hAnsi="Times New Roman" w:cs="Times New Roman"/>
          <w:szCs w:val="24"/>
          <w:lang w:val="uk-UA"/>
        </w:rPr>
      </w:pPr>
      <w:r w:rsidRPr="002A3875">
        <w:rPr>
          <w:rFonts w:ascii="Times New Roman" w:eastAsia="Calibri" w:hAnsi="Times New Roman" w:cs="Times New Roman"/>
          <w:szCs w:val="24"/>
          <w:lang w:val="uk-UA"/>
        </w:rPr>
        <w:t>Михайло ПАРФІНЕНКО</w:t>
      </w:r>
    </w:p>
    <w:p w:rsidR="00392C63" w:rsidRPr="002A3875" w:rsidRDefault="00392C63" w:rsidP="003B45B5">
      <w:pPr>
        <w:spacing w:after="0" w:line="240" w:lineRule="auto"/>
        <w:ind w:left="1134"/>
        <w:rPr>
          <w:rFonts w:ascii="Times New Roman" w:eastAsia="Calibri" w:hAnsi="Times New Roman" w:cs="Times New Roman"/>
          <w:szCs w:val="24"/>
          <w:lang w:val="uk-UA"/>
        </w:rPr>
      </w:pPr>
      <w:r w:rsidRPr="002A3875">
        <w:rPr>
          <w:rFonts w:ascii="Times New Roman" w:eastAsia="Calibri" w:hAnsi="Times New Roman" w:cs="Times New Roman"/>
          <w:szCs w:val="24"/>
          <w:lang w:val="uk-UA"/>
        </w:rPr>
        <w:t>Віталій КОРОБЕЙНИК</w:t>
      </w:r>
      <w:bookmarkEnd w:id="0"/>
    </w:p>
    <w:sectPr w:rsidR="00392C63" w:rsidRPr="002A3875" w:rsidSect="002A38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40C"/>
    <w:rsid w:val="00037644"/>
    <w:rsid w:val="000A323B"/>
    <w:rsid w:val="002A3875"/>
    <w:rsid w:val="00392C63"/>
    <w:rsid w:val="003B45B5"/>
    <w:rsid w:val="003E2B3F"/>
    <w:rsid w:val="00480245"/>
    <w:rsid w:val="004A43A6"/>
    <w:rsid w:val="004D640C"/>
    <w:rsid w:val="00532853"/>
    <w:rsid w:val="005A654E"/>
    <w:rsid w:val="006468B2"/>
    <w:rsid w:val="00870985"/>
    <w:rsid w:val="00C6556E"/>
    <w:rsid w:val="00CF1BDF"/>
    <w:rsid w:val="00DC2BAF"/>
    <w:rsid w:val="00F6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2C6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A3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38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2C6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A3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38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2238</Words>
  <Characters>1277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16</cp:revision>
  <cp:lastPrinted>2021-12-24T11:30:00Z</cp:lastPrinted>
  <dcterms:created xsi:type="dcterms:W3CDTF">2021-12-14T10:03:00Z</dcterms:created>
  <dcterms:modified xsi:type="dcterms:W3CDTF">2021-12-24T11:30:00Z</dcterms:modified>
</cp:coreProperties>
</file>